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50+ weekly inventory reimbursement cases by severity and policy eligibility, ensuring compliance with Financial Compliance and Regulatory Reporting requirements.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demonstrating investigative instincts essential for Risk Management and Internal Controls.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for GAAP and IFRS compliance.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