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using structured workflows for timely decision-making and efficient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ensuring compliance with established security protocols.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investigation findings, decisions, evidence notes, and corrective actions in audit-ready case notes, maintaining a secure and compliant environment.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data to VirusTotal, AbuseIPDB, URLScan.io, and cross-referencing WHOIS, DNS,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using Python, generating domain variants and checking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using Python and Telegram bot, enabling analysts to submit URLs for IOC enrichment, supporting CSV input/output for incident response, and OSINT enrichment via theHarvester.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using Python, integrating Nessus and OpenVAS APIs, and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detecting injection, auth, and SSRF vulnerabilities, and documented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