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9" w:after="2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resulting in timely decision-making and efficient case resolution.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ensuring accurate and thorough case analysis.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evidence documentation and decision trails.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records, maintaining accurate and transparent case history.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detection, lateral movement, and privilege escalation; mapped TTPs to MITRE ATT&amp;CK (TTP mapping)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29" w:after="29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(vulnerability prioritisation)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