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 — building operational instincts directly applicable to GRC analyst, risk management, and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