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identify risk mitigation opportunities.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 through root cause analysis, and escalated findings to senior reviewers for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risk assessment and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financial risk.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CVEs,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