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the structured alert triage and escalation workflow used in SOC Tier 1 analyst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patterns; escalated findings to senior reviewers, demonstrating investigative instincts central to SOC and fraud analyst operations.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security incident reporting and IT audit.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Systems Engineering Advisor - MDM &amp; Endpoint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(detection engineering) searches for brute-force detection (index=* failed | stats count by src_ip), lateral movement, and privilege escalation; mapped TTPs to MITRE ATT&amp;CK (TTP mapping) (T1110, T1078, T1059)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 (security orchestration and automation)-style detection pipeline: Python script ingests Splunk alerts, runs IOC enrichment (threat intelligence) via VirusTotal API, and dispatches Telegram notifications with severity classification — reducing mean time to triage by automating repetitive L1 tasks.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(vendor-neutral format used by enterprise SOCs); performed TCP/IP analysis in Wireshark to detect SYN scans, DNS tunnelling, and plaintext credential exposure on unencrypted sessions.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generates CVE reports classified by CVSS severity (vulnerability prioritisation); implemented EPSS scoring (exploit probability scoring) from FIRST.org API to prioritise by actual exploit probability — a metric rarely used by freshers.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(web application security) automated web checker that sends crafted HTTP requests to detect injection, broken auth, and SSRF vulnerabilities; documented SQL injection exploit and parameterised query remediation.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calculate remediation SLA deadlines (Critical=24hrs, High=7 days, Medium=30 days) for patch compliance (remediation tracking) tracking.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Endpoint, Management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