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producing consistent case disposition logs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enabling timely security escalation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creating a searchable security incident repository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repeat‑issue investigation time before escalation, establishing a pattern‑alert baseline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brute‑force, lateral movement and privilege escalation detection, mapped TTPs to MITRE ATT&amp;CK framework and generated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automation that consumes Splunk alerts, enriches indicators using MITRE ATT&amp;CK knowledge base, and triggers Nmap scans for host validation with severity classification logged.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Sigma rules for cross‑platform use and used Wireshark packet captures to identify SYN scans, DNS tunnelling and plaintext credential exposure.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pipeline that submits URLs and IPs to VirusTotal and AbuseIPDB, then cross‑references WHOIS registration data and DNS records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Programmed Python script to generate character‑substitution variants of brand domains, query WHOIS for registration details and perform live DNS checks to flag typosquatting.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Telegram bot in Python that accepts URL submissions, enriches them via VirusTotal and AbuseIPDB lookups, and returns WHOIS summary to analysts.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