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95% on-time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reducing repeat-issue investigation time by 30%.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audit-ready case documentation: investigation findings, decisions, evidence notes, corrective actions, maintaining 100% compliance with audit standards.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by 40% and enhancing incident prioritization.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achieved 95% accuracy in detecting security threats.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ingests Splunk alerts, enriches with VirusTotal API, dispatches Telegram notifications with severity classification, reducing mean time to triage by 30% (T1110/T1078/T1059).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exposure; reduced false positives by 25%.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achieved 99% accuracy in detecting phishing attacks.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character-substitution variants of brand domains, catching 90% of brand-impersonation attacks before reaching threat feeds.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via theHarvester; reduced analyst response time by 25%.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