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50+ weekly inventory reimbursement cases by severity and policy eligibility, and escalated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and demonstrated investigative instincts.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and established the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