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reducing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cases, identified recurring fraud patterns, flagged early, and reduced repeat-issue investigation time, enhancing case efficiency and reducing risk.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recording investigation findings, decisions, evidence notes, and corrective actions, ensuring transparency and accountability in case resolution.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escalation, mapped to MITRE ATT&amp;CK TTPs,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vulnerabilities, with SQL injection exploit documentation and remediation guidance.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