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 at Arena Investors, LP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for risk analysis: documented suspicious URLs/IPs submitted to VirusTotal, AbuseIPDB, and URLScan.io,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 identification framework using typosquatting detection, generating domain variants and checking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supports bulk CSV input/output,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 at Arena Investors, LP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29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control gap analysis: 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Mapped risk-based patch compliance: automated scan scheduling via Bash and cron, delta-scan logic for newly discovered CVEs and patch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