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policy violations and anomalous patterns.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and escalating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 notes, and corrective actions in audit-ready case records, maintaining accurate and thorough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