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ensuring compliance with established policies.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root cause of seller claims, documenting findings, decisions, evidence, and corrective actions in audit-ready case notes, maintaining compliance tracking.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patterns, flagging 200+ weekly cases early to reduce investigation time, and enhancing compliance and security.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multi-API threat intelligence pipeline using Python, submitting suspicious data to VirusTotal, AbuseIPDB, URLScan.io, and cross-referencing WHOIS, DNS, and SSL details for phishing analysis.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typosquatting detector using Python, AbuseIPDB, and WHOIS to generate domain variants and check live DNS resolution for brand-impersonation analysis.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Python, generating CVE reports with CVSS severity and EPSS context from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using Python, Bash, and Nessus to detect injection, auth, and SSRF vulnerabilities, documenting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with Bash and cron, flagging new CVEs and tracking patch compliance using Python, Bash, and Nessus.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