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leveraging structured alert triage and escalation workflow.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 — cutting repeat-issue investigation time before escalation.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 risk assessment, OWASP compliance,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