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workflows, with 100% escalation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repeat-issue investigation time reduction.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Audit-ready documentation, control validation, compliance tracking, evidence completeness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with decision notes, corrective actions, and documentation completeness for control validation and compliance tracking.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framework for anomaly detection at scale, identifying repeat issues and escalating early for audit-ready documentation.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 structured investigation process for high-volume operations review, including evidence documentation and escalation.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Audit-ready documentation, control validation, compliance tracking, evidence completeness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Validated controls for audit-ready documentation, tracking compliance and evidence completeness for risk assessment.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patterns in audit trails for repeat-issue flagging and early escalation, ensuring audit-ready documentation.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Mapped audit trails to control validation, ensuring compliance tracking and evidence completeness for risk assessment.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