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identified policy violations and anomalous patterns, and escalated findings to senior reviewers for compliance.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cases, identifying recurring fraud patterns, flagging early, and reducing repeat-issue investigation time through compliance tracking and decision trail expertise.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 for compliance-related activities.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