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95% of cases resolved within SLA.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 by 30%.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risk prioritization, SLA discipline, and remediation tracking.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evidence, and corrective actions, ensuring compliance tracking and decision trails.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using Python, AbuseIPDB, and WHOIS to generate brand domain variants and check live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 using Python, Telegram bot, and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built delta-scan logic to flag new CVEs and track remediation using Nessus, OpenVAS, and NVD API.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