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following structured workflows,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ensuring accurate and thorough case resolution.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maintaining a clear and transparent case history.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