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triage, escalation, and decision workflows to support Risk Management and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 to enhance Fraud Detection and Transaction Monitoring.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facilitate Investigate and Identify suspicious activities.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improve Risk Management and Compliance.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