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and flagging anomalies early to minimize investigation time and optimize case resolution.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 in case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