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 99% compliance rate.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