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improving case resolution and reducing policy violations.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flagged them early, and reduced repeat-issue investigation time before escalation, resulting in enhanced case efficiency and reduced risk.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rules, enhancing vendor-neutral detection-as-code for enterprise SOCs; analyzed TCP/IP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 to generate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