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 recording investigation findings, decisions, evidence notes, and corrective actions for transparent decision-making.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