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causes of seller claims, identified policy violations and anomalous patterns, and escalated findings to senior reviewers for security remediation.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records with investigation findings, evidence notes, and corrective actions, establishing a security‑focused documentation process.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vulnerability assessment pipeline in Python that integrates Nessus and OpenVAS REST APIs and generates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 OWASP Top 10 automated web checker that sends crafted HTTP requests to detect injection, broken authentication and SSRF vulnerabilities and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with Bash and cron, built delta‑scan logic to flag newly discovered CVEs and organized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brute‑force detection, lateral movement and privilege escalation and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SOAR‑style detection pipeline where a Python script ingests Splunk alerts, runs IOC enrichment via VirusTotal API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 and plaintext credential exposure on unencrypted sessions analysis.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