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fraud intelligence pipeline: submits suspicious domains and IPs to VirusTotal, AbuseIPDB, and URLScan.io; cross-references WHOIS registration age, DNS records, and SSL details for KYC domain-verification workflows.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legitimate business domains and checking live DNS resolution for financial fraud infrastructure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suspicious entity enrichment supporting bulk CSV input/output for investigation workflows; includes OSINT enrichment (open-source intelligence) via theHarvester for domain profiling.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(vulnerability prioritisation)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