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prioritized incident response and root cause analysis.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identified policy violations and anomalous patterns; escalated findings to senior reviewers, ensuring timely incident response and crisis management.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evidence notes, and corrective actions; documented incident response and security procedures.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escalation; applied risk management and cyber defense strategies.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brute-force, lateral movement, and privilege escalation; mapped TTPs to MITRE ATT&amp;CK (T1110, T1078, T1059)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web vulnerabilities (injection, auth, SSRF) and documented SQL injection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cron, flagging new CVEs and calculating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response, management,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