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multi-source risk assessment pipeline: submits vendor domains and IPs to VirusTotal, AbuseIPDB, and URLScan.io, and cross-references WHOIS, DNS, and SSL certificate details for due diligence.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domain reputation assessment tool detecting typosquatting variants and live DNS resolution for vendor and partner ecosystem review.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audit-ready CVE reports with EPSS context from FIRST.org API and CVSS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 against regulatory requirements, documenting vulnerability-to-remediation audit trails with SQL injection evidence and parameterised query fixes.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cron; built delta-scan logic to track remediation progress and organize audit evidence for patch compliance (remediation tracking) review.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