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resulting in enhanced case efficiency and reduced risk.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