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escalation and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informed senior reviewer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through early flagging and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 for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Nessus and OpenVAS reports.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