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resulting in 95% accurate case categorization.</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reducing repeat-issue investigation time by 30%.</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ensuring 100% compliance with audit standards.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supporting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