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control gaps, and implement corrective actions — building operational instincts directly applicable to GRC analyst, risk management, and compliance monitoring roles.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mapping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Python, Splunk, and VirusTotal API,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and WHOIS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to catch brand-impersonation attacks.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