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triage, escalation, and decision workflows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 via detailed escalation reports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audit‑ready case documentation capturing investigation findings, evidence notes, and corrective actions, populating an audit‑ready case file repository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 and generated CVE reports classified by CVSS severity and EPSS context from the FIRST.org API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 and SSRF vulnerabilities and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 and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 and privilege escalation and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 and dispatches Telegram notifications with severity classification notification.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and performed TCP/IP analysis in Wireshark to detect SYN scans, DNS tunnelling and plaintext credential exposure on unencrypted sessions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