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with character-substitution variants of brand domains &amp; live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IOC enrichment &amp; receive structured threat reports in-chat.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 with EPSS scoring.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broken auth, &amp; SSRF vulnerabilities with query-level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 with delta-scan logic flagging newly discovered CVEs &amp; calculating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Chain, threat landscape reporting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