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and reduced risk exposure.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 with escalation and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