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detailed, audit-ready case documentation recording investigation findings, decisions, evidence notes, and corrective actions for compliance tracking.</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