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&amp; URLScan.io; cross-referenced WHOIS registration age &amp; DNS records.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&amp;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to flag newly discovered CVEs &amp;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GRC compliance monitoring, control testing, audit documentation, risk assessment, RCSA basics, vendor risk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ISO 27001 (concepts), NIST CSF, PCI-DSS, GDPR/PDPB, SOX/ITGC basics, compliance gap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screening, financial crime indicators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 (pivot, VLOOKUP),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