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advisory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findings, decisions, and corrective actions to support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(24hrs Critical, 7 days High, 30 days Medium).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