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identifying high-risk cases for senior reviewer escalation.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analyzing policy violations and anomalous patterns to inform decision-making and reduce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