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resulting in timely case resolution and reduced escalation rates.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improving case accuracy and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actions, maintaining audit-ready case records and ensuring compliance.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patterns, flagging 200+ weekly cases early, reducing repeat-issue investigation time and risk exposure.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for detecting injection, auth, and SSRF vulnerabilities; documented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