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compliance and accuracy in case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findings, decisions, evidence, and corrective actions in audit-ready case notes.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and reducing repeat-issue investigation time before escalation, enhancing compliance and risk mitigation.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Data and AI Governance Compliance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bot, compliance tracking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audit-ready documentation for multi-API threat intelligence pipeline, integrating VirusTotal, AbuseIPDB, URLScan.io, WHOIS, DNS, and SSL analysis for phishing detection.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control validation for typosquatting detection, generating domain variants and checking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audit-ready case notes for Telegram bot interface, enabling analysts to submit URLs for live IOC enrichment, with bulk CSV input/output and OSINT enrichment via theHarvester.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Data and AI Governance Compliance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API, compliance tracking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Generated compliance tracking evidence for automated vulnerability assessment pipeline integrating Nessus and OpenVAS REST APIs in Python, classified CVE reports by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remediation tracking for OWASP Top 10 automated web checker, detecting injection, auth, and SSRF vulnerabilities, including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compliance tracking workflow for automated scan scheduling via Bash and cron; flagged newly discovered CVEs and organized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