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early detection and mitigation of potential compliance risks.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notes, ensuring compliance tracking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multi-source risk assessment pipeline: submits vendor domains and IPs to VirusTotal, AbuseIPDB, URLScan.io, and cross-references WHOIS, DNS, and SSL certificate details for third-party due diligence and compliance.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domain reputation assessment tool detecting typosquatting variants and live DNS resolution for vendor and partner ecosystem review.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automated risk assessment,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audit-ready CVE reports with EPSS context from FIRST.org API and CVSS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 validating web app security controls against regulatory requirements, documenting vulnerability-to-remediation audit trails.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 scheduling via Bash and cron; built delta-scan logic to track remediation progress and organize audit evidence for patch compliance (remediation tracking) review.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