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identifying potential threats and escalating high-risk cases to senior reviewers, resolving 80% in a timely manner.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to identify policy violations and anomalous patterns, reducing repeat-issue investigation time by 30% through early detection of recurring cyber threat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case data to maintain audit-ready documentation, recording investigation findings, decisions, evidence notes, and corrective actions, ensuring 100% compliance with audit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by 25% and improving case resolution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and wrote PICERL incident report with FIRST.org collaboration.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