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72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1" w:after="3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 and escalation workflows.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Conducted root cause analysis on seller claims, identified policy violations and anomalous patterns, and escalated findings to senior reviewers.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evidence notes, and corrective actions.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Spotted recurring fraud patterns across 200+ weekly cases and flagged them early, reducing repeat-issue investigation time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detection pipeline using Python script that ingests Splunk alerts, runs IOC enrichment via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vendor-neutral format used by enterprise SOCs;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33" w:after="3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generated CVE reports classified by CVSS severity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that sends crafted HTTP requests to detect injection, broken auth, and SSRF vulnerabilities; documented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