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triage, escalation, and decision workflows to identify potential fraud risks.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further action.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ensure transparency and accountability.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preventing potential losses.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(EPSS: 80).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brand domain variants and checking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