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case triage adherence to established decision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with 95% of escalated cases resulting in policy violation identification.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99% of case documentation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30%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