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with 100% case resolution within 3 business days.</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reducing repeat-issue investigation time by 30%.</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with 99% accuracy in case notes and decision trails.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by 25% before escalation to senior reviewers.</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using Python, Telegram bot, and WHOIS.</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documenting SQL injection exploit and parameterised query remediation using Python, Bash, and Nessus.</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