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leading to improved case resolution efficiency.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identify recurring fraud patterns, flagging them early to reduce repeat-issue investigation time before escalation, resulting in significant cost savings.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recording investigation findings, decisions, evidence notes, and corrective actions, ensuring seamless case escalation and review processes.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