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&amp; policy eligibility, mirroring structured alert triage &amp; escalation workflow used in IT audit.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&amp; anomalous patterns; escalated findings to senior reviewers, demonstrating investigative instincts central to ITGC.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&amp; corrective actions, establishing evidence chain-of-custody discipline required for IT audit.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Phishing &amp;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 using VirusTotal, AbuseIPDB, &amp; URLScan.io; cross-references WHOIS registration age, DNS records, &amp; SSL certificate details to produce phishing probability score.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domain detector generating character-substitution variants of brand domains &amp; checks live DNS resolution to catch brand-impersonation attacks.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enabling analysts to submit URLs for live IOC enrichment &amp; receive structured threat reports in-chat; supports bulk CSV input/output for incident response workflows.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&amp;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&amp; OpenVAS REST APIs in Python; generates CVE reports classified by CVSS severity with remediation guidance.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sending crafted HTTP requests to test targets &amp; detects injection, broken auth, &amp; SSRF vulnerabilities; documented query-level SQL injection exploit.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&amp; cron; built delta-scan logic comparing consecutive runs to flag newly discovered CVEs &amp; calculate remediation SLA deadlines for patch compliance tracking.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analysis, risk escalation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