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and implemented Quality Assurance processes for Mobility data, ensuring accurate and timely inventory reimbursement.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Data Governance.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DNS resolution to catch brand-impersonation attacks before they reach threat feeds (T1110).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CVEs,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