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triage, escalation, and decision workflows; achieved triage workflow compliance rate of 98%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reviewers; maintained escalation queue throughput of 45 cases per day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capturing investigation findings, evidence notes, and corrective actions; secured documentation accuracy score of 99%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cutting repeat‑issue investigation time before escalation; reduced pattern detection lead time to 2 days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brute‑force, lateral movement and privilege escalation detection, mapped TTPs to MITRE ATT&amp;CK framework and produced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Python automation that consumes Splunk alerts, enriches indicators by correlating with MITRE ATT&amp;CK technique library, and generates formatted notification files for analyst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Translated existing detection logic into Sigma rule format for vendor‑neutral deployment and used Wireshark packet captures to identify SYN scans, DNS tunnelling and plaintext credential leaks in captures.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Python pipeline that submits URLs and IPs to VirusTotal and AbuseIPDB, then cross‑references WHOIS registration age, DNS records and SSL certificate details to produce phishing analysis reports.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Programmed Python typosquatting detector that creates character‑substitution variants of target domains, queries WHOIS for registration data and performs live DNS resolution checks, outputting a list of impersonating domains.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Telegram bot in Python that accepts analyst‑submitted URLs, enriches them via VirusTotal and AbuseIPDB lookups, and returns results through CSV files.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